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51" w:tblpY="974"/>
        <w:tblOverlap w:val="never"/>
        <w:tblW w:w="11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1"/>
        <w:gridCol w:w="6804"/>
        <w:gridCol w:w="2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1307" w:type="dxa"/>
            <w:gridSpan w:val="4"/>
          </w:tcPr>
          <w:p>
            <w:pPr>
              <w:snapToGrid w:val="0"/>
              <w:spacing w:line="228" w:lineRule="auto"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5832475</wp:posOffset>
                  </wp:positionH>
                  <wp:positionV relativeFrom="paragraph">
                    <wp:posOffset>0</wp:posOffset>
                  </wp:positionV>
                  <wp:extent cx="760730" cy="1032510"/>
                  <wp:effectExtent l="0" t="0" r="1270" b="3810"/>
                  <wp:wrapSquare wrapText="bothSides"/>
                  <wp:docPr id="1" name="图片 1" descr="f4035eb6bb196a2ab295b3eb089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4035eb6bb196a2ab295b3eb08908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华文中宋" w:cs="Times New Roman"/>
                <w:b/>
                <w:bCs/>
                <w:sz w:val="36"/>
                <w:szCs w:val="36"/>
                <w:lang w:val="en-US" w:eastAsia="zh-CN"/>
              </w:rPr>
              <w:t xml:space="preserve">             赵传业           </w:t>
            </w:r>
          </w:p>
          <w:p>
            <w:pPr>
              <w:snapToGrid w:val="0"/>
              <w:spacing w:line="228" w:lineRule="auto"/>
              <w:jc w:val="center"/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 xml:space="preserve">                       04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/199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 xml:space="preserve"> · 男 · 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烟台</w:t>
            </w:r>
          </w:p>
          <w:p>
            <w:pPr>
              <w:snapToGrid w:val="0"/>
              <w:spacing w:line="228" w:lineRule="auto"/>
              <w:jc w:val="center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 xml:space="preserve">                       13105280866 ·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13105280866@163.com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  <w:gridSpan w:val="4"/>
            <w:tcBorders>
              <w:bottom w:val="single" w:color="auto" w:sz="8" w:space="0"/>
            </w:tcBorders>
          </w:tcPr>
          <w:p>
            <w:pPr>
              <w:snapToGrid w:val="0"/>
              <w:spacing w:before="124" w:beforeLines="40" w:line="228" w:lineRule="auto"/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南昌大学 Nanchang University</w:t>
            </w:r>
          </w:p>
        </w:tc>
        <w:tc>
          <w:tcPr>
            <w:tcW w:w="2948" w:type="dxa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jc w:val="right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南昌，中国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应用数学</w:t>
            </w: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/硕士学位（研究生）</w:t>
            </w:r>
          </w:p>
        </w:tc>
        <w:tc>
          <w:tcPr>
            <w:tcW w:w="2948" w:type="dxa"/>
          </w:tcPr>
          <w:p>
            <w:pPr>
              <w:snapToGrid w:val="0"/>
              <w:spacing w:line="228" w:lineRule="auto"/>
              <w:jc w:val="right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09/2021-07/2024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284" w:type="dxa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</w:p>
        </w:tc>
        <w:tc>
          <w:tcPr>
            <w:tcW w:w="11023" w:type="dxa"/>
            <w:gridSpan w:val="3"/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学校背景：国家“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instrText xml:space="preserve"> HYPERLINK "https://baike.baidu.com/item/%E5%8F%8C%E4%B8%80%E6%B5%81/19394525?fromModule=lemma_inlink" \t "https://baike.baidu.com/item/%E5%8D%97%E6%98%8C%E5%A4%A7%E5%AD%B8/_blank" </w:instrTex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双一流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”建设高校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国家“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instrText xml:space="preserve"> HYPERLINK "https://baike.baidu.com/item/211%E5%B7%A5%E7%A8%8B/203547?fromModule=lemma_inlink" \t "https://baike.baidu.com/item/%E5%8D%97%E6%98%8C%E5%A4%A7%E5%AD%B8/_blank" </w:instrTex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211工程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”重点建设高校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instrText xml:space="preserve"> HYPERLINK "https://baike.baidu.com/item/%E6%95%99%E8%82%B2%E9%83%A8/239078?fromModule=lemma_inlink" \t "https://baike.baidu.com/item/%E5%8D%97%E6%98%8C%E5%A4%A7%E5%AD%B8/_blank" </w:instrTex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教育部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与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instrText xml:space="preserve"> HYPERLINK "https://baike.baidu.com/item/%E6%B1%9F%E8%A5%BF%E7%9C%81%E4%BA%BA%E6%B0%91%E6%94%BF%E5%BA%9C/6392792?fromModule=lemma_inlink" \t "https://baike.baidu.com/item/%E5%8D%97%E6%98%8C%E5%A4%A7%E5%AD%B8/_blank" </w:instrTex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江西省人民政府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部省合建高校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江西省高水平大学整体建设高校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after="156" w:afterLines="50"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主修课程：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偏微分方程/高等概率论/基础代数/泛函分析/动力系统基础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9" w:type="dxa"/>
            <w:gridSpan w:val="3"/>
          </w:tcPr>
          <w:p>
            <w:pPr>
              <w:snapToGrid w:val="0"/>
              <w:spacing w:line="228" w:lineRule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滨州学院 Binzhou University</w:t>
            </w:r>
          </w:p>
        </w:tc>
        <w:tc>
          <w:tcPr>
            <w:tcW w:w="2948" w:type="dxa"/>
          </w:tcPr>
          <w:p>
            <w:pPr>
              <w:snapToGrid w:val="0"/>
              <w:spacing w:line="228" w:lineRule="auto"/>
              <w:jc w:val="right"/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滨州</w:t>
            </w: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应用数学</w:t>
            </w: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/学士学位（本科）</w:t>
            </w:r>
          </w:p>
        </w:tc>
        <w:tc>
          <w:tcPr>
            <w:tcW w:w="2948" w:type="dxa"/>
          </w:tcPr>
          <w:p>
            <w:pPr>
              <w:snapToGrid w:val="0"/>
              <w:spacing w:line="228" w:lineRule="auto"/>
              <w:jc w:val="right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09/2017-07/2021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</w:p>
        </w:tc>
        <w:tc>
          <w:tcPr>
            <w:tcW w:w="11023" w:type="dxa"/>
            <w:gridSpan w:val="3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学校背景：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省属全日制综合性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instrText xml:space="preserve"> HYPERLINK "https://baike.so.com/doc/6931330-7153649.html" \t "https://baike.so.com/doc/_blank" </w:instrTex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t>本科院校</w:t>
            </w:r>
            <w:r>
              <w:rPr>
                <w:rFonts w:hint="default" w:ascii="Times New Roman" w:hAnsi="Times New Roman" w:eastAsia="华文中宋" w:cs="Times New Roman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数学为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省级特色专业，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具有多个省级重点实验室，获批山东省应用型本科高校建设首批支持单位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主修课程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数学分析/高等代数/复变函数</w:t>
            </w:r>
            <w:bookmarkStart w:id="0" w:name="_GoBack"/>
            <w:bookmarkEnd w:id="0"/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/实变函数/偏微分方程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  <w:gridSpan w:val="4"/>
            <w:tcBorders>
              <w:bottom w:val="single" w:color="auto" w:sz="8" w:space="0"/>
            </w:tcBorders>
            <w:vAlign w:val="top"/>
          </w:tcPr>
          <w:p>
            <w:pPr>
              <w:snapToGrid w:val="0"/>
              <w:spacing w:before="124" w:beforeLines="40" w:line="228" w:lineRule="auto"/>
              <w:rPr>
                <w:rFonts w:ascii="Times New Roman" w:hAnsi="Times New Roman" w:eastAsia="华文中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  <w:t>职业技能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snapToGrid w:val="0"/>
              <w:spacing w:line="228" w:lineRule="auto"/>
              <w:jc w:val="both"/>
              <w:rPr>
                <w:rFonts w:hint="default" w:ascii="Times New Roman" w:hAnsi="Times New Roman" w:eastAsia="华文中宋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荣誉</w:t>
            </w:r>
          </w:p>
        </w:tc>
        <w:tc>
          <w:tcPr>
            <w:tcW w:w="9752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left="420" w:leftChars="0" w:hanging="420" w:firstLineChars="0"/>
              <w:rPr>
                <w:rFonts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全国大学生英语竞赛国家三等奖；全国大学生数学竞赛国家一等奖2次、三等奖1次；多次获得奖学金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top"/>
          </w:tcPr>
          <w:p>
            <w:pPr>
              <w:snapToGrid w:val="0"/>
              <w:spacing w:line="228" w:lineRule="auto"/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752" w:type="dxa"/>
            <w:gridSpan w:val="2"/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left="420" w:leftChars="0" w:hanging="420" w:firstLineChars="0"/>
              <w:rPr>
                <w:rFonts w:ascii="Times New Roman" w:hAnsi="Times New Roman" w:eastAsia="华文中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CPA（税法），初级经济师证书，初级会计证书，初中数学教师资格证，英语四六级（CET-4、CET-6），计算机一、二级（MS Office、Photoshop）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top"/>
          </w:tcPr>
          <w:p>
            <w:pPr>
              <w:snapToGrid w:val="0"/>
              <w:spacing w:line="228" w:lineRule="auto"/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语言能力</w:t>
            </w:r>
          </w:p>
        </w:tc>
        <w:tc>
          <w:tcPr>
            <w:tcW w:w="9752" w:type="dxa"/>
            <w:gridSpan w:val="2"/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left="420" w:leftChars="0" w:hanging="420" w:firstLineChars="0"/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英语：优秀的英语表达及应用能力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(CET-6)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，可作为工作语言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中文：普通话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top"/>
          </w:tcPr>
          <w:p>
            <w:pPr>
              <w:snapToGrid w:val="0"/>
              <w:spacing w:line="228" w:lineRule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软件应用</w:t>
            </w:r>
          </w:p>
        </w:tc>
        <w:tc>
          <w:tcPr>
            <w:tcW w:w="9752" w:type="dxa"/>
            <w:gridSpan w:val="2"/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left="420" w:leftChars="0" w:hanging="420"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Matalab，Python，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Microsoft Office (Excel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Word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PowerPoint)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  <w:gridSpan w:val="4"/>
            <w:tcBorders>
              <w:bottom w:val="single" w:color="auto" w:sz="8" w:space="0"/>
            </w:tcBorders>
          </w:tcPr>
          <w:p>
            <w:pPr>
              <w:snapToGrid w:val="0"/>
              <w:spacing w:before="124" w:beforeLines="40" w:line="228" w:lineRule="auto"/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4"/>
                <w:szCs w:val="24"/>
                <w:lang w:val="en-US" w:eastAsia="zh-CN"/>
              </w:rPr>
              <w:t>实习</w:t>
            </w:r>
            <w:r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中审众环会计师事务所(特殊普通合伙)河南分所</w:t>
            </w:r>
          </w:p>
        </w:tc>
        <w:tc>
          <w:tcPr>
            <w:tcW w:w="2948" w:type="dxa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jc w:val="right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郑州，中国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snapToGrid w:val="0"/>
              <w:spacing w:line="228" w:lineRule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审计助理</w:t>
            </w:r>
          </w:p>
        </w:tc>
        <w:tc>
          <w:tcPr>
            <w:tcW w:w="2948" w:type="dxa"/>
          </w:tcPr>
          <w:p>
            <w:pPr>
              <w:snapToGrid w:val="0"/>
              <w:spacing w:line="228" w:lineRule="auto"/>
              <w:jc w:val="right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01/2023-04/2023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84" w:type="dxa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</w:p>
        </w:tc>
        <w:tc>
          <w:tcPr>
            <w:tcW w:w="11023" w:type="dxa"/>
            <w:gridSpan w:val="3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 xml:space="preserve">大型国有企业年度审计，根据审计准则要求，编制部分科目的审计工作底稿（损益类、权益类、部分资产及负债类），对重大变动进行了差异分析； 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负责审计项目细节测试的全部抽凭工作，检查发票、银行对账单、合同等是否有授权审批、金额是否一致，保证账实相符；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根据企业提供的明细表编制盘点表，对企业的库存现金、存货、固定资产等进行监盘，并撰写盘点报告；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编制银行函证及往来函证，核对函证相关信息如金额、收件地址、收件人、联系电话等，并对回函情况进行统计，制作回函控制表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负责编制财务报表附注，协助项目经理对审计工作底稿进行整理、归档。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307" w:type="dxa"/>
            <w:gridSpan w:val="4"/>
            <w:tcBorders>
              <w:bottom w:val="single" w:color="auto" w:sz="8" w:space="0"/>
            </w:tcBorders>
          </w:tcPr>
          <w:p>
            <w:pPr>
              <w:snapToGrid w:val="0"/>
              <w:spacing w:before="124" w:beforeLines="40" w:line="228" w:lineRule="auto"/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4"/>
                <w:szCs w:val="24"/>
                <w:lang w:val="en-US" w:eastAsia="zh-CN"/>
              </w:rPr>
              <w:t>实践</w:t>
            </w:r>
            <w:r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滨州学院学生会外联部</w:t>
            </w:r>
          </w:p>
        </w:tc>
        <w:tc>
          <w:tcPr>
            <w:tcW w:w="2948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8" w:lineRule="auto"/>
              <w:ind w:right="0"/>
              <w:jc w:val="right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滨州，中国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snapToGrid w:val="0"/>
              <w:spacing w:line="228" w:lineRule="auto"/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成员</w:t>
            </w:r>
          </w:p>
        </w:tc>
        <w:tc>
          <w:tcPr>
            <w:tcW w:w="2948" w:type="dxa"/>
          </w:tcPr>
          <w:p>
            <w:pPr>
              <w:snapToGrid w:val="0"/>
              <w:spacing w:line="228" w:lineRule="auto"/>
              <w:jc w:val="right"/>
              <w:rPr>
                <w:rFonts w:hint="default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20"/>
                <w:szCs w:val="20"/>
                <w:lang w:val="en-US" w:eastAsia="zh-CN"/>
              </w:rPr>
              <w:t>10/2017-06/2018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4" w:type="dxa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</w:p>
        </w:tc>
        <w:tc>
          <w:tcPr>
            <w:tcW w:w="11023" w:type="dxa"/>
            <w:gridSpan w:val="3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hint="eastAsia"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联系扩大学院学生会及学院的影响力，提高学院的知名度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hint="eastAsia"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负责为学生会活动筹集资金，拉取赞助，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使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学生活动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能够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顺利开展，保证活动能够高质量的举行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</w:rPr>
              <w:t>加强学生会与外界的联系，树立系学生会的良好形象，促进彼此间的交流与联系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负责大型活动的对外联系工作，包括联系嘉宾，制作，发送，请柬，安排礼仪接待等工作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07" w:type="dxa"/>
            <w:gridSpan w:val="4"/>
            <w:tcBorders>
              <w:bottom w:val="single" w:color="auto" w:sz="8" w:space="0"/>
            </w:tcBorders>
          </w:tcPr>
          <w:p>
            <w:pPr>
              <w:snapToGrid w:val="0"/>
              <w:spacing w:before="124" w:beforeLines="40" w:line="228" w:lineRule="auto"/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4"/>
                <w:szCs w:val="24"/>
              </w:rPr>
              <w:t>职场优势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专业能力</w:t>
            </w:r>
          </w:p>
        </w:tc>
        <w:tc>
          <w:tcPr>
            <w:tcW w:w="9752" w:type="dxa"/>
            <w:gridSpan w:val="2"/>
            <w:tcBorders>
              <w:top w:val="single" w:color="auto" w:sz="8" w:space="0"/>
            </w:tcBorders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擅长经济模型建造，对数据敏感，富有丰富的金融数据分析经验，善于预测、评估经济走势。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教育背景</w:t>
            </w:r>
          </w:p>
        </w:tc>
        <w:tc>
          <w:tcPr>
            <w:tcW w:w="9752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江西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知名高校硕士学历，掌握金融、财务、商业、市场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管理</w:t>
            </w:r>
            <w:r>
              <w:rPr>
                <w:rFonts w:hint="eastAsia" w:ascii="Times New Roman" w:hAnsi="Times New Roman" w:eastAsia="华文中宋" w:cs="Times New Roman"/>
                <w:sz w:val="20"/>
                <w:szCs w:val="20"/>
                <w:lang w:val="en-US" w:eastAsia="zh-CN"/>
              </w:rPr>
              <w:t>等相关</w:t>
            </w: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知识，具有国际视野。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  <w:t>工作风格</w:t>
            </w:r>
          </w:p>
        </w:tc>
        <w:tc>
          <w:tcPr>
            <w:tcW w:w="9752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认真严谨与灵活创新兼备，能够在快节奏的工作环境中，保持较高的工作效率和高质量的结果输出。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snapToGrid w:val="0"/>
              <w:spacing w:line="228" w:lineRule="auto"/>
              <w:rPr>
                <w:rFonts w:ascii="Times New Roman" w:hAnsi="Times New Roman" w:eastAsia="华文中宋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9752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snapToGrid w:val="0"/>
              <w:spacing w:line="228" w:lineRule="auto"/>
              <w:ind w:firstLineChars="0"/>
              <w:rPr>
                <w:rFonts w:ascii="Times New Roman" w:hAnsi="Times New Roman" w:eastAsia="华文中宋" w:cs="Times New Roman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0"/>
                <w:szCs w:val="20"/>
              </w:rPr>
              <w:t>优秀的团队合作者，能够快速融入团队，做事有条理及规划性，拥有极强的敬业精神以及抗压能力。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C680C"/>
    <w:multiLevelType w:val="multilevel"/>
    <w:tmpl w:val="412C680C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sz w:val="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GIzYmYwYzE5ZGFmODMxMGUwYTFlOWQ3NzE4MWMifQ=="/>
  </w:docVars>
  <w:rsids>
    <w:rsidRoot w:val="3D5E64FC"/>
    <w:rsid w:val="03870314"/>
    <w:rsid w:val="12D26523"/>
    <w:rsid w:val="1D1C78C7"/>
    <w:rsid w:val="23225E55"/>
    <w:rsid w:val="2F4405B8"/>
    <w:rsid w:val="35361427"/>
    <w:rsid w:val="38AA3963"/>
    <w:rsid w:val="3D2008B6"/>
    <w:rsid w:val="3D5E64FC"/>
    <w:rsid w:val="42105473"/>
    <w:rsid w:val="5CA70254"/>
    <w:rsid w:val="5E5F0DE7"/>
    <w:rsid w:val="626142C7"/>
    <w:rsid w:val="7C2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1058</Words>
  <Characters>1254</Characters>
  <Lines>0</Lines>
  <Paragraphs>0</Paragraphs>
  <TotalTime>39</TotalTime>
  <ScaleCrop>false</ScaleCrop>
  <LinksUpToDate>false</LinksUpToDate>
  <CharactersWithSpaces>1338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2023-06-27T12:12:00Z</dcterms:created>
  <dc:creator>Z</dc:creator>
  <cp:lastModifiedBy>Z</cp:lastModifiedBy>
  <dcterms:modified xsi:type="dcterms:W3CDTF">2023-07-29T13:27:26Z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C7474DE18A0F4F1A9800A9D9A5745680_11</vt:lpwstr>
  </property>
</Properties>
</file>