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/>
        <w:textAlignment w:val="auto"/>
        <w:rPr>
          <w:rFonts w:hint="default" w:ascii="微软雅黑" w:hAnsi="微软雅黑" w:eastAsia="微软雅黑" w:cs="微软雅黑"/>
          <w:b/>
          <w:color w:val="4067B1"/>
          <w:sz w:val="26"/>
          <w:lang w:val="en-US" w:eastAsia="zh-CN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5080635</wp:posOffset>
            </wp:positionH>
            <wp:positionV relativeFrom="page">
              <wp:posOffset>505460</wp:posOffset>
            </wp:positionV>
            <wp:extent cx="1141730" cy="1511935"/>
            <wp:effectExtent l="0" t="0" r="1270" b="12065"/>
            <wp:wrapNone/>
            <wp:docPr id="3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ico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4067B1"/>
          <w:sz w:val="52"/>
        </w:rPr>
        <w:t>龚雪灵</w:t>
      </w:r>
      <w:r>
        <w:rPr>
          <w:rFonts w:hint="eastAsia" w:ascii="微软雅黑" w:hAnsi="微软雅黑" w:eastAsia="微软雅黑" w:cs="微软雅黑"/>
          <w:color w:val="4067B1"/>
          <w:sz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1106170</wp:posOffset>
            </wp:positionV>
            <wp:extent cx="7559040" cy="460375"/>
            <wp:effectExtent l="0" t="0" r="10160" b="9525"/>
            <wp:wrapNone/>
            <wp:docPr id="4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W w:w="7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6"/>
        <w:gridCol w:w="3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36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hint="default" w:ascii="微软雅黑" w:hAnsi="微软雅黑" w:eastAsia="微软雅黑" w:cs="微软雅黑"/>
                <w:color w:val="666666"/>
                <w:sz w:val="20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电话：13559738130</w:t>
            </w:r>
          </w:p>
        </w:tc>
        <w:tc>
          <w:tcPr>
            <w:tcW w:w="365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72" w:right="72"/>
              <w:textAlignment w:val="center"/>
              <w:rPr>
                <w:rFonts w:ascii="微软雅黑" w:hAnsi="微软雅黑" w:eastAsia="微软雅黑" w:cs="微软雅黑"/>
                <w:color w:val="666666"/>
                <w:sz w:val="20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0"/>
              </w:rPr>
              <w:t>邮箱：shirleygong2022@163.com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before="0" w:after="0" w:line="300" w:lineRule="exact"/>
      </w:pP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实习经历</w:t>
      </w:r>
      <w:r>
        <w:drawing>
          <wp:anchor distT="0" distB="0" distL="114300" distR="114300"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7" name="Drawing 0" descr="实习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实习经历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8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40" w:lineRule="exact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</w:t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40" w:lineRule="exact"/>
        <w:jc w:val="left"/>
        <w:textAlignment w:val="center"/>
        <w:rPr>
          <w:rFonts w:ascii="微软雅黑" w:hAnsi="微软雅黑" w:eastAsia="微软雅黑" w:cs="微软雅黑"/>
          <w:b/>
          <w:color w:val="4067B1"/>
          <w:sz w:val="22"/>
        </w:rPr>
      </w:pPr>
      <w:r>
        <w:rPr>
          <w:rFonts w:ascii="微软雅黑" w:hAnsi="微软雅黑" w:eastAsia="微软雅黑" w:cs="微软雅黑"/>
          <w:b/>
          <w:color w:val="4067B1"/>
          <w:sz w:val="22"/>
        </w:rPr>
        <w:t>2021.0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color w:val="4067B1"/>
          <w:sz w:val="22"/>
        </w:rPr>
        <w:t>-2021.10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 xml:space="preserve">                                   淘宝movo高端女装</w:t>
      </w:r>
      <w:r>
        <w:rPr>
          <w:rFonts w:ascii="微软雅黑" w:hAnsi="微软雅黑" w:eastAsia="微软雅黑" w:cs="微软雅黑"/>
          <w:b/>
          <w:color w:val="4067B1"/>
          <w:sz w:val="22"/>
        </w:rPr>
        <w:t>店铺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-</w:t>
      </w:r>
      <w:r>
        <w:rPr>
          <w:rFonts w:ascii="微软雅黑" w:hAnsi="微软雅黑" w:eastAsia="微软雅黑" w:cs="微软雅黑"/>
          <w:b/>
          <w:color w:val="4067B1"/>
          <w:sz w:val="22"/>
        </w:rPr>
        <w:t>电商运营助理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</w:pPr>
      <w:r>
        <w:rPr>
          <w:rFonts w:ascii="微软雅黑" w:hAnsi="微软雅黑" w:eastAsia="微软雅黑" w:cs="微软雅黑"/>
          <w:b/>
          <w:bCs/>
          <w:color w:val="666666"/>
          <w:sz w:val="20"/>
        </w:rPr>
        <w:t>日常运营</w:t>
      </w:r>
      <w:r>
        <w:rPr>
          <w:rFonts w:ascii="微软雅黑" w:hAnsi="微软雅黑" w:eastAsia="微软雅黑" w:cs="微软雅黑"/>
          <w:color w:val="666666"/>
          <w:sz w:val="20"/>
        </w:rPr>
        <w:t>：协助商品上下架、补单及标题类目优化，PV提升超过20%；</w:t>
      </w:r>
      <w:r>
        <w:rPr>
          <w:rFonts w:ascii="微软雅黑" w:hAnsi="微软雅黑" w:eastAsia="微软雅黑" w:cs="微软雅黑"/>
          <w:b/>
          <w:bCs/>
          <w:color w:val="666666"/>
          <w:sz w:val="20"/>
        </w:rPr>
        <w:t>监控数据</w:t>
      </w:r>
      <w:r>
        <w:rPr>
          <w:rFonts w:ascii="微软雅黑" w:hAnsi="微软雅黑" w:eastAsia="微软雅黑" w:cs="微软雅黑"/>
          <w:color w:val="666666"/>
          <w:sz w:val="20"/>
        </w:rPr>
        <w:t>：优化店铺各类数据，撰写超过10余次引流款和盈利款数据分析报告；</w:t>
      </w:r>
      <w:r>
        <w:rPr>
          <w:rFonts w:ascii="微软雅黑" w:hAnsi="微软雅黑" w:eastAsia="微软雅黑" w:cs="微软雅黑"/>
          <w:b/>
          <w:bCs/>
          <w:color w:val="666666"/>
          <w:sz w:val="20"/>
        </w:rPr>
        <w:t>竞品分析</w:t>
      </w:r>
      <w:r>
        <w:rPr>
          <w:rFonts w:ascii="微软雅黑" w:hAnsi="微软雅黑" w:eastAsia="微软雅黑" w:cs="微软雅黑"/>
          <w:color w:val="666666"/>
          <w:sz w:val="20"/>
        </w:rPr>
        <w:t>：多渠道收集竞品信息，撰写竞品分析报告；</w:t>
      </w:r>
      <w:r>
        <w:rPr>
          <w:rFonts w:ascii="微软雅黑" w:hAnsi="微软雅黑" w:eastAsia="微软雅黑" w:cs="微软雅黑"/>
          <w:b/>
          <w:bCs/>
          <w:color w:val="666666"/>
          <w:sz w:val="20"/>
        </w:rPr>
        <w:t>沟通协调</w:t>
      </w:r>
      <w:r>
        <w:rPr>
          <w:rFonts w:ascii="微软雅黑" w:hAnsi="微软雅黑" w:eastAsia="微软雅黑" w:cs="微软雅黑"/>
          <w:color w:val="666666"/>
          <w:sz w:val="20"/>
        </w:rPr>
        <w:t>：协助完成与达人之间的谈判，确定宣传推广方向。</w:t>
      </w:r>
    </w:p>
    <w:p>
      <w:pPr>
        <w:spacing w:before="0" w:after="0" w:line="160" w:lineRule="exact"/>
        <w:jc w:val="left"/>
      </w:pP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2022.03-2022.05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 xml:space="preserve">                      </w:t>
      </w:r>
      <w:r>
        <w:rPr>
          <w:rFonts w:ascii="微软雅黑" w:hAnsi="微软雅黑" w:eastAsia="微软雅黑" w:cs="微软雅黑"/>
          <w:b/>
          <w:color w:val="4067B1"/>
          <w:sz w:val="22"/>
        </w:rPr>
        <w:t>奶爸和朋友们教育科技（广州）有限公司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-</w:t>
      </w:r>
      <w:r>
        <w:rPr>
          <w:rFonts w:ascii="微软雅黑" w:hAnsi="微软雅黑" w:eastAsia="微软雅黑" w:cs="微软雅黑"/>
          <w:b/>
          <w:color w:val="4067B1"/>
          <w:sz w:val="22"/>
        </w:rPr>
        <w:t>社群运营助理</w:t>
      </w:r>
    </w:p>
    <w:p>
      <w:pPr>
        <w:spacing w:before="0" w:after="0" w:line="8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协助</w:t>
      </w:r>
      <w:r>
        <w:rPr>
          <w:rFonts w:ascii="微软雅黑" w:hAnsi="微软雅黑" w:eastAsia="微软雅黑" w:cs="微软雅黑"/>
          <w:color w:val="666666"/>
          <w:sz w:val="20"/>
        </w:rPr>
        <w:t>运营超过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300</w:t>
      </w:r>
      <w:r>
        <w:rPr>
          <w:rFonts w:ascii="微软雅黑" w:hAnsi="微软雅黑" w:eastAsia="微软雅黑" w:cs="微软雅黑"/>
          <w:color w:val="666666"/>
          <w:sz w:val="20"/>
        </w:rPr>
        <w:t>人的知识付费社群，实现超过80%的好评率和超过75%的打卡达标率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666666"/>
          <w:sz w:val="20"/>
        </w:rPr>
        <w:t>日常运营</w:t>
      </w:r>
      <w:r>
        <w:rPr>
          <w:rFonts w:ascii="微软雅黑" w:hAnsi="微软雅黑" w:eastAsia="微软雅黑" w:cs="微软雅黑"/>
          <w:color w:val="666666"/>
          <w:sz w:val="20"/>
        </w:rPr>
        <w:t>：定期私聊、群聊，带动社群氛围，提高用户粘性；</w:t>
      </w:r>
      <w:r>
        <w:rPr>
          <w:rFonts w:ascii="微软雅黑" w:hAnsi="微软雅黑" w:eastAsia="微软雅黑" w:cs="微软雅黑"/>
          <w:b/>
          <w:bCs/>
          <w:color w:val="666666"/>
          <w:sz w:val="20"/>
        </w:rPr>
        <w:t>精细化运营</w:t>
      </w:r>
      <w:r>
        <w:rPr>
          <w:rFonts w:ascii="微软雅黑" w:hAnsi="微软雅黑" w:eastAsia="微软雅黑" w:cs="微软雅黑"/>
          <w:color w:val="666666"/>
          <w:sz w:val="20"/>
        </w:rPr>
        <w:t>：持续关注社群内部动态，利用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表格标签化潜在消费用户</w:t>
      </w:r>
      <w:r>
        <w:rPr>
          <w:rFonts w:ascii="微软雅黑" w:hAnsi="微软雅黑" w:eastAsia="微软雅黑" w:cs="微软雅黑"/>
          <w:color w:val="666666"/>
          <w:sz w:val="20"/>
        </w:rPr>
        <w:t>；</w:t>
      </w:r>
      <w:r>
        <w:rPr>
          <w:rFonts w:hint="eastAsia" w:ascii="微软雅黑" w:hAnsi="微软雅黑" w:eastAsia="微软雅黑" w:cs="微软雅黑"/>
          <w:b/>
          <w:bCs/>
          <w:color w:val="666666"/>
          <w:sz w:val="20"/>
          <w:lang w:val="en-US" w:eastAsia="zh-CN"/>
        </w:rPr>
        <w:t>社群内容沉淀</w:t>
      </w:r>
      <w:r>
        <w:rPr>
          <w:rFonts w:ascii="微软雅黑" w:hAnsi="微软雅黑" w:eastAsia="微软雅黑" w:cs="微软雅黑"/>
          <w:color w:val="666666"/>
          <w:sz w:val="20"/>
        </w:rPr>
        <w:t>：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收集社群聊天记录，整理发布有价值的内容输出</w:t>
      </w:r>
      <w:r>
        <w:rPr>
          <w:rFonts w:ascii="微软雅黑" w:hAnsi="微软雅黑" w:eastAsia="微软雅黑" w:cs="微软雅黑"/>
          <w:i w:val="0"/>
          <w:iCs w:val="0"/>
          <w:color w:val="666666"/>
          <w:sz w:val="20"/>
        </w:rPr>
        <w:t>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666666"/>
          <w:sz w:val="20"/>
          <w:lang w:val="en-US" w:eastAsia="zh-CN"/>
        </w:rPr>
        <w:t>活动运营</w:t>
      </w:r>
      <w:r>
        <w:rPr>
          <w:rFonts w:ascii="微软雅黑" w:hAnsi="微软雅黑" w:eastAsia="微软雅黑" w:cs="微软雅黑"/>
          <w:i w:val="0"/>
          <w:iCs w:val="0"/>
          <w:color w:val="666666"/>
          <w:sz w:val="20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olor w:val="666666"/>
          <w:sz w:val="20"/>
          <w:lang w:val="en-US" w:eastAsia="zh-CN"/>
        </w:rPr>
        <w:t>预告、主持活动活跃群内气氛，引导成员发言分享。</w:t>
      </w:r>
    </w:p>
    <w:bookmarkEnd w:id="0"/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教育经历</w:t>
      </w:r>
      <w:r>
        <w:drawing>
          <wp:anchor distT="0" distB="0" distL="114300" distR="114300"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教育经历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40" w:lineRule="exact"/>
        <w:rPr>
          <w:sz w:val="21"/>
        </w:rPr>
      </w:pP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986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2019.9-2023.6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东莞理工学院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374957"/>
          <w:sz w:val="22"/>
        </w:rPr>
        <w:t>文化产业管理 | 本科</w:t>
      </w:r>
    </w:p>
    <w:p>
      <w:pPr>
        <w:spacing w:before="0" w:after="0" w:line="8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  <w:rPr>
          <w:rFonts w:hint="default"/>
          <w:lang w:val="en-US"/>
        </w:rPr>
      </w:pPr>
      <w:r>
        <w:rPr>
          <w:rFonts w:ascii="微软雅黑" w:hAnsi="微软雅黑" w:eastAsia="微软雅黑" w:cs="微软雅黑"/>
          <w:color w:val="666666"/>
          <w:sz w:val="20"/>
        </w:rPr>
        <w:t>GPA：3.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80</w:t>
      </w:r>
      <w:r>
        <w:rPr>
          <w:rFonts w:ascii="微软雅黑" w:hAnsi="微软雅黑" w:eastAsia="微软雅黑" w:cs="微软雅黑"/>
          <w:color w:val="666666"/>
          <w:sz w:val="20"/>
        </w:rPr>
        <w:t>/4，专业排名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第4；多次获得校内奖学金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在校经历</w:t>
      </w:r>
      <w:r>
        <w:drawing>
          <wp:anchor distT="0" distB="0" distL="114300" distR="114300"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在校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在校经历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2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40" w:lineRule="exact"/>
        <w:rPr>
          <w:sz w:val="21"/>
        </w:rPr>
      </w:pP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color w:val="4067B1"/>
          <w:sz w:val="22"/>
        </w:rPr>
        <w:t>2020.09-2020.12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 xml:space="preserve">                                               </w:t>
      </w:r>
      <w:r>
        <w:rPr>
          <w:rFonts w:ascii="微软雅黑" w:hAnsi="微软雅黑" w:eastAsia="微软雅黑" w:cs="微软雅黑"/>
          <w:b/>
          <w:color w:val="4067B1"/>
          <w:sz w:val="22"/>
        </w:rPr>
        <w:t>文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学与传媒</w:t>
      </w:r>
      <w:r>
        <w:rPr>
          <w:rFonts w:ascii="微软雅黑" w:hAnsi="微软雅黑" w:eastAsia="微软雅黑" w:cs="微软雅黑"/>
          <w:b/>
          <w:color w:val="4067B1"/>
          <w:sz w:val="22"/>
        </w:rPr>
        <w:t>学院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-</w:t>
      </w:r>
      <w:r>
        <w:rPr>
          <w:rFonts w:ascii="微软雅黑" w:hAnsi="微软雅黑" w:eastAsia="微软雅黑" w:cs="微软雅黑"/>
          <w:b/>
          <w:color w:val="4067B1"/>
          <w:sz w:val="22"/>
        </w:rPr>
        <w:t>行政助理</w:t>
      </w:r>
    </w:p>
    <w:p>
      <w:pPr>
        <w:spacing w:before="0" w:after="0" w:line="8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协助完成10余场企业宣讲会的落地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，</w:t>
      </w:r>
      <w:r>
        <w:rPr>
          <w:rFonts w:ascii="微软雅黑" w:hAnsi="微软雅黑" w:eastAsia="微软雅黑" w:cs="微软雅黑"/>
          <w:color w:val="666666"/>
          <w:sz w:val="20"/>
        </w:rPr>
        <w:t>收集整理超过100份申报资料。对接各班班长通知学院工作；撰写学院公告；协助完成学院公众号推文编辑；编辑整理学生基本信息表格。</w:t>
      </w:r>
    </w:p>
    <w:p>
      <w:pPr>
        <w:spacing w:before="0" w:after="0" w:line="160" w:lineRule="exact"/>
        <w:jc w:val="left"/>
      </w:pPr>
    </w:p>
    <w:p>
      <w:pPr>
        <w:tabs>
          <w:tab w:val="right" w:pos="9860"/>
        </w:tabs>
        <w:spacing w:before="0" w:after="0" w:line="380" w:lineRule="exact"/>
        <w:jc w:val="left"/>
        <w:textAlignment w:val="center"/>
        <w:rPr>
          <w:rFonts w:ascii="微软雅黑" w:hAnsi="微软雅黑" w:eastAsia="微软雅黑" w:cs="微软雅黑"/>
          <w:b/>
          <w:color w:val="4067B1"/>
          <w:sz w:val="22"/>
        </w:rPr>
      </w:pPr>
      <w:r>
        <w:rPr>
          <w:rFonts w:ascii="微软雅黑" w:hAnsi="微软雅黑" w:eastAsia="微软雅黑" w:cs="微软雅黑"/>
          <w:b/>
          <w:color w:val="4067B1"/>
          <w:sz w:val="22"/>
        </w:rPr>
        <w:t>2021.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09</w:t>
      </w:r>
      <w:r>
        <w:rPr>
          <w:rFonts w:ascii="微软雅黑" w:hAnsi="微软雅黑" w:eastAsia="微软雅黑" w:cs="微软雅黑"/>
          <w:b/>
          <w:color w:val="4067B1"/>
          <w:sz w:val="22"/>
        </w:rPr>
        <w:t>-2022.01</w:t>
      </w:r>
      <w:r>
        <w:rPr>
          <w:rFonts w:ascii="微软雅黑" w:hAnsi="微软雅黑" w:eastAsia="微软雅黑" w:cs="微软雅黑"/>
          <w:b/>
          <w:color w:val="4067B1"/>
          <w:sz w:val="22"/>
        </w:rPr>
        <w:tab/>
      </w:r>
      <w:r>
        <w:rPr>
          <w:rFonts w:ascii="微软雅黑" w:hAnsi="微软雅黑" w:eastAsia="微软雅黑" w:cs="微软雅黑"/>
          <w:b/>
          <w:color w:val="4067B1"/>
          <w:sz w:val="22"/>
        </w:rPr>
        <w:t>莞洱爱心茶室</w:t>
      </w:r>
      <w:r>
        <w:rPr>
          <w:rFonts w:hint="eastAsia" w:ascii="微软雅黑" w:hAnsi="微软雅黑" w:eastAsia="微软雅黑" w:cs="微软雅黑"/>
          <w:b/>
          <w:color w:val="4067B1"/>
          <w:sz w:val="22"/>
          <w:lang w:val="en-US" w:eastAsia="zh-CN"/>
        </w:rPr>
        <w:t>-运营</w:t>
      </w:r>
      <w:r>
        <w:rPr>
          <w:rFonts w:ascii="微软雅黑" w:hAnsi="微软雅黑" w:eastAsia="微软雅黑" w:cs="微软雅黑"/>
          <w:b/>
          <w:color w:val="4067B1"/>
          <w:sz w:val="22"/>
        </w:rPr>
        <w:t>部</w:t>
      </w:r>
    </w:p>
    <w:p>
      <w:pPr>
        <w:spacing w:before="0" w:after="0" w:line="80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协助策划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3</w:t>
      </w:r>
      <w:r>
        <w:rPr>
          <w:rFonts w:ascii="微软雅黑" w:hAnsi="微软雅黑" w:eastAsia="微软雅黑" w:cs="微软雅黑"/>
          <w:color w:val="666666"/>
          <w:sz w:val="20"/>
        </w:rPr>
        <w:t>场线下活动，营业额突破30万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。</w:t>
      </w:r>
      <w:r>
        <w:rPr>
          <w:rFonts w:ascii="微软雅黑" w:hAnsi="微软雅黑" w:eastAsia="微软雅黑" w:cs="微软雅黑"/>
          <w:color w:val="666666"/>
          <w:sz w:val="20"/>
        </w:rPr>
        <w:t>沟通协调10余个社团组织及2个学生社区举办活动，到店率提升超过40%；协助撰写活动推文，活动相关推文阅读量累计超过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4</w:t>
      </w:r>
      <w:r>
        <w:rPr>
          <w:rFonts w:ascii="微软雅黑" w:hAnsi="微软雅黑" w:eastAsia="微软雅黑" w:cs="微软雅黑"/>
          <w:color w:val="666666"/>
          <w:sz w:val="20"/>
        </w:rPr>
        <w:t>万+。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相关技能</w:t>
      </w:r>
      <w:r>
        <w:drawing>
          <wp:anchor distT="0" distB="0" distL="114300" distR="114300"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3" name="Drawing 0" descr="相关技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相关技能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4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40" w:lineRule="exact"/>
        <w:rPr>
          <w:sz w:val="21"/>
        </w:rPr>
      </w:pP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</w:pPr>
      <w:r>
        <w:rPr>
          <w:rFonts w:ascii="微软雅黑" w:hAnsi="微软雅黑" w:eastAsia="微软雅黑" w:cs="微软雅黑"/>
          <w:b/>
          <w:color w:val="666666"/>
          <w:sz w:val="20"/>
        </w:rPr>
        <w:t>语言技能：</w:t>
      </w:r>
      <w:r>
        <w:rPr>
          <w:rFonts w:ascii="微软雅黑" w:hAnsi="微软雅黑" w:eastAsia="微软雅黑" w:cs="微软雅黑"/>
          <w:color w:val="666666"/>
          <w:sz w:val="20"/>
        </w:rPr>
        <w:t>大学英语六级证书，英语听说读写能力强，可作为工作语言；普通话二级乙等证书。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</w:pPr>
      <w:r>
        <w:rPr>
          <w:rFonts w:ascii="微软雅黑" w:hAnsi="微软雅黑" w:eastAsia="微软雅黑" w:cs="微软雅黑"/>
          <w:b/>
          <w:color w:val="666666"/>
          <w:sz w:val="20"/>
        </w:rPr>
        <w:t>办公技能：</w:t>
      </w:r>
      <w:r>
        <w:rPr>
          <w:rFonts w:ascii="微软雅黑" w:hAnsi="微软雅黑" w:eastAsia="微软雅黑" w:cs="微软雅黑"/>
          <w:color w:val="666666"/>
          <w:sz w:val="20"/>
        </w:rPr>
        <w:t>国家计算机二级证书（office方向）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可</w:t>
      </w:r>
      <w:r>
        <w:rPr>
          <w:rFonts w:ascii="微软雅黑" w:hAnsi="微软雅黑" w:eastAsia="微软雅黑" w:cs="微软雅黑"/>
          <w:color w:val="666666"/>
          <w:sz w:val="20"/>
        </w:rPr>
        <w:t>熟练使用Excel软件进行数据分析；基本掌握秀米、剪映</w:t>
      </w:r>
      <w:r>
        <w:rPr>
          <w:rFonts w:hint="eastAsia" w:ascii="微软雅黑" w:hAnsi="微软雅黑" w:eastAsia="微软雅黑" w:cs="微软雅黑"/>
          <w:color w:val="666666"/>
          <w:sz w:val="20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Photoshop</w:t>
      </w:r>
      <w:r>
        <w:rPr>
          <w:rFonts w:ascii="微软雅黑" w:hAnsi="微软雅黑" w:eastAsia="微软雅黑" w:cs="微软雅黑"/>
          <w:color w:val="666666"/>
          <w:sz w:val="20"/>
        </w:rPr>
        <w:t>等新媒体软件。</w:t>
      </w:r>
    </w:p>
    <w:p>
      <w:pPr>
        <w:spacing w:before="0" w:after="0" w:line="460" w:lineRule="exact"/>
        <w:ind w:left="75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4067B1"/>
          <w:sz w:val="26"/>
        </w:rPr>
        <w:t>自我评价</w:t>
      </w:r>
      <w:r>
        <w:drawing>
          <wp:anchor distT="0" distB="0" distL="114300" distR="114300" simplePos="0" relativeHeight="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5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自我评价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6213475" cy="18415"/>
            <wp:effectExtent l="0" t="0" r="0" b="0"/>
            <wp:wrapNone/>
            <wp:docPr id="16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174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40" w:lineRule="exact"/>
        <w:rPr>
          <w:sz w:val="21"/>
        </w:rPr>
      </w:pP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</w:rPr>
      </w:pPr>
      <w:r>
        <w:rPr>
          <w:rFonts w:hint="eastAsia" w:ascii="微软雅黑" w:hAnsi="微软雅黑" w:eastAsia="微软雅黑" w:cs="微软雅黑"/>
          <w:color w:val="666666"/>
          <w:sz w:val="20"/>
        </w:rPr>
        <w:t>做事仔细，考虑周到，营销活动执行期间针对各部门优势进行人员组织与统筹；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</w:rPr>
      </w:pP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目标导向</w:t>
      </w:r>
      <w:r>
        <w:rPr>
          <w:rFonts w:hint="eastAsia" w:ascii="微软雅黑" w:hAnsi="微软雅黑" w:eastAsia="微软雅黑" w:cs="微软雅黑"/>
          <w:color w:val="666666"/>
          <w:sz w:val="20"/>
        </w:rPr>
        <w:t>，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效率高，坚持每天完成</w:t>
      </w:r>
      <w:r>
        <w:rPr>
          <w:rFonts w:hint="eastAsia" w:ascii="微软雅黑" w:hAnsi="微软雅黑" w:eastAsia="微软雅黑" w:cs="微软雅黑"/>
          <w:color w:val="666666"/>
          <w:sz w:val="20"/>
        </w:rPr>
        <w:t>数据复盘</w:t>
      </w:r>
      <w:r>
        <w:rPr>
          <w:rFonts w:hint="eastAsia" w:ascii="微软雅黑" w:hAnsi="微软雅黑" w:eastAsia="微软雅黑" w:cs="微软雅黑"/>
          <w:color w:val="666666"/>
          <w:sz w:val="20"/>
          <w:lang w:val="en-US" w:eastAsia="zh-CN"/>
        </w:rPr>
        <w:t>分析</w:t>
      </w:r>
      <w:r>
        <w:rPr>
          <w:rFonts w:hint="eastAsia" w:ascii="微软雅黑" w:hAnsi="微软雅黑" w:eastAsia="微软雅黑" w:cs="微软雅黑"/>
          <w:color w:val="666666"/>
          <w:sz w:val="20"/>
        </w:rPr>
        <w:t>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  <w:rPr>
          <w:rFonts w:hint="eastAsia" w:ascii="微软雅黑" w:hAnsi="微软雅黑" w:eastAsia="微软雅黑" w:cs="微软雅黑"/>
          <w:color w:val="666666"/>
          <w:sz w:val="20"/>
        </w:rPr>
      </w:pPr>
      <w:r>
        <w:rPr>
          <w:rFonts w:hint="eastAsia" w:ascii="微软雅黑" w:hAnsi="微软雅黑" w:eastAsia="微软雅黑" w:cs="微软雅黑"/>
          <w:color w:val="666666"/>
          <w:sz w:val="20"/>
        </w:rPr>
        <w:t>细心负责，适应能力强，擅长沟通协调，在校期间多次与社团组织、老师沟通联络；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center"/>
      </w:pPr>
      <w:r>
        <w:rPr>
          <w:rFonts w:hint="eastAsia" w:ascii="微软雅黑" w:hAnsi="微软雅黑" w:eastAsia="微软雅黑" w:cs="微软雅黑"/>
          <w:color w:val="666666"/>
          <w:sz w:val="20"/>
        </w:rPr>
        <w:t>性格开朗，积极承担活动策划职能。</w:t>
      </w:r>
      <w:r>
        <w:drawing>
          <wp:anchor distT="0" distB="0" distL="114300" distR="11430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10508615</wp:posOffset>
            </wp:positionV>
            <wp:extent cx="7559040" cy="184150"/>
            <wp:effectExtent l="0" t="0" r="0" b="0"/>
            <wp:wrapNone/>
            <wp:docPr id="17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footer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8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37" w:right="1020" w:bottom="737" w:left="1020" w:header="851" w:footer="992" w:gutter="0"/>
      <w:pgBorders w:zOrder="back" w:offsetFrom="page">
        <w:top w:val="none" w:sz="0" w:space="0"/>
        <w:left w:val="single" w:color="D8E0F0" w:sz="116" w:space="0"/>
        <w:bottom w:val="none" w:sz="0" w:space="0"/>
        <w:right w:val="single" w:color="D8E0F0" w:sz="116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7968"/>
    <w:rsid w:val="08282EB3"/>
    <w:rsid w:val="0BEA088F"/>
    <w:rsid w:val="0C4A6520"/>
    <w:rsid w:val="0EC430F7"/>
    <w:rsid w:val="0FD55BC2"/>
    <w:rsid w:val="10CC6097"/>
    <w:rsid w:val="12100741"/>
    <w:rsid w:val="127B54D4"/>
    <w:rsid w:val="12E80977"/>
    <w:rsid w:val="147A2136"/>
    <w:rsid w:val="148C72E1"/>
    <w:rsid w:val="16594AA8"/>
    <w:rsid w:val="1B5F4A3D"/>
    <w:rsid w:val="20D70C79"/>
    <w:rsid w:val="225660D0"/>
    <w:rsid w:val="247A37AC"/>
    <w:rsid w:val="2553343C"/>
    <w:rsid w:val="26EA5E84"/>
    <w:rsid w:val="27181A85"/>
    <w:rsid w:val="288F6AD0"/>
    <w:rsid w:val="2ABE39E7"/>
    <w:rsid w:val="2CBE008D"/>
    <w:rsid w:val="2CF01F4E"/>
    <w:rsid w:val="343D7A29"/>
    <w:rsid w:val="36333EC6"/>
    <w:rsid w:val="36D83FAB"/>
    <w:rsid w:val="3C953405"/>
    <w:rsid w:val="3DF9788F"/>
    <w:rsid w:val="405968EB"/>
    <w:rsid w:val="437C1438"/>
    <w:rsid w:val="46DD79D6"/>
    <w:rsid w:val="4937319F"/>
    <w:rsid w:val="4A232255"/>
    <w:rsid w:val="4CB334E9"/>
    <w:rsid w:val="4E3B7697"/>
    <w:rsid w:val="4E6B787A"/>
    <w:rsid w:val="4F42252D"/>
    <w:rsid w:val="505F5F9E"/>
    <w:rsid w:val="56137C61"/>
    <w:rsid w:val="5A1719FC"/>
    <w:rsid w:val="5AF317FA"/>
    <w:rsid w:val="5D485F3B"/>
    <w:rsid w:val="5DF550CF"/>
    <w:rsid w:val="5E8720E6"/>
    <w:rsid w:val="5ED137E3"/>
    <w:rsid w:val="5F843F57"/>
    <w:rsid w:val="63812C84"/>
    <w:rsid w:val="65B57F23"/>
    <w:rsid w:val="66AF24B3"/>
    <w:rsid w:val="677700BB"/>
    <w:rsid w:val="686D1172"/>
    <w:rsid w:val="6A0B07C2"/>
    <w:rsid w:val="6C5E2B90"/>
    <w:rsid w:val="6CFF56D4"/>
    <w:rsid w:val="70D44D28"/>
    <w:rsid w:val="72997F09"/>
    <w:rsid w:val="730D6F2F"/>
    <w:rsid w:val="75522792"/>
    <w:rsid w:val="755F2585"/>
    <w:rsid w:val="762A61BC"/>
    <w:rsid w:val="786101DD"/>
    <w:rsid w:val="7F952608"/>
    <w:rsid w:val="7FD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954</Characters>
  <Lines>0</Lines>
  <Paragraphs>0</Paragraphs>
  <TotalTime>282</TotalTime>
  <ScaleCrop>false</ScaleCrop>
  <LinksUpToDate>false</LinksUpToDate>
  <CharactersWithSpaces>1067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2020-10-20T01:53:00Z</dcterms:created>
  <dc:creator>FKYPLX2</dc:creator>
  <cp:lastModifiedBy>Little moon</cp:lastModifiedBy>
  <dcterms:modified xsi:type="dcterms:W3CDTF">2022-10-12T01:24:47Z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2284A84283C04187B53F744FC0FF6E66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